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before="63" w:line="505" w:lineRule="exact"/>
        <w:ind w:right="1"/>
        <w:jc w:val="center"/>
        <w:rPr>
          <w:sz w:val="44"/>
        </w:rPr>
      </w:pPr>
      <w:r>
        <w:rPr>
          <w:color w:val="006FC0"/>
          <w:sz w:val="44"/>
        </w:rPr>
        <w:t>ГАЗОВАЯ</w:t>
      </w:r>
      <w:r>
        <w:rPr>
          <w:color w:val="006FC0"/>
          <w:spacing w:val="-6"/>
          <w:sz w:val="44"/>
        </w:rPr>
        <w:t xml:space="preserve"> </w:t>
      </w:r>
      <w:r>
        <w:rPr>
          <w:color w:val="006FC0"/>
          <w:sz w:val="44"/>
        </w:rPr>
        <w:t>БЕЗОПАСНОСТЬ</w:t>
      </w:r>
      <w:r>
        <w:rPr>
          <w:color w:val="006FC0"/>
          <w:spacing w:val="-5"/>
          <w:sz w:val="44"/>
        </w:rPr>
        <w:t xml:space="preserve"> </w:t>
      </w:r>
      <w:r>
        <w:rPr>
          <w:color w:val="006FC0"/>
          <w:sz w:val="44"/>
        </w:rPr>
        <w:t>В</w:t>
      </w:r>
      <w:r>
        <w:rPr>
          <w:color w:val="006FC0"/>
          <w:spacing w:val="-4"/>
          <w:sz w:val="44"/>
        </w:rPr>
        <w:t xml:space="preserve"> </w:t>
      </w:r>
      <w:r>
        <w:rPr>
          <w:color w:val="006FC0"/>
          <w:sz w:val="44"/>
        </w:rPr>
        <w:t>ВАШЕМ</w:t>
      </w:r>
      <w:r>
        <w:rPr>
          <w:color w:val="006FC0"/>
          <w:spacing w:val="-4"/>
          <w:sz w:val="44"/>
        </w:rPr>
        <w:t xml:space="preserve"> </w:t>
      </w:r>
      <w:r>
        <w:rPr>
          <w:color w:val="006FC0"/>
          <w:spacing w:val="-2"/>
          <w:sz w:val="44"/>
        </w:rPr>
        <w:t>ДОМЕ!</w:t>
      </w:r>
    </w:p>
    <w:p w14:paraId="02000000">
      <w:pPr>
        <w:pStyle w:val="Style_1"/>
      </w:pPr>
      <w:r>
        <w:rPr>
          <w:color w:val="006FC0"/>
        </w:rPr>
        <w:t xml:space="preserve">ТЕХНИЧЕСКОЕ </w:t>
      </w:r>
      <w:r>
        <w:rPr>
          <w:color w:val="006FC0"/>
          <w:spacing w:val="-2"/>
        </w:rPr>
        <w:t>ОБСЛУЖИВАНИЕ</w:t>
      </w:r>
    </w:p>
    <w:p w14:paraId="03000000">
      <w:pPr>
        <w:pStyle w:val="Style_2"/>
        <w:spacing w:before="68"/>
        <w:ind/>
        <w:rPr>
          <w:b w:val="1"/>
          <w:sz w:val="20"/>
        </w:rPr>
      </w:pPr>
    </w:p>
    <w:p w14:paraId="04000000">
      <w:pPr>
        <w:pStyle w:val="Style_3"/>
        <w:spacing w:before="1"/>
        <w:ind w:firstLine="0" w:left="0" w:right="1"/>
        <w:jc w:val="center"/>
      </w:pPr>
      <w:r>
        <w:t>Уважаемые</w:t>
      </w:r>
      <w:r>
        <w:rPr>
          <w:spacing w:val="14"/>
        </w:rPr>
        <w:t xml:space="preserve"> </w:t>
      </w:r>
      <w:r>
        <w:rPr>
          <w:spacing w:val="-2"/>
        </w:rPr>
        <w:t>жильцы!</w:t>
      </w:r>
    </w:p>
    <w:p w14:paraId="05000000">
      <w:pPr>
        <w:pStyle w:val="Style_2"/>
        <w:spacing w:before="178"/>
        <w:ind w:firstLine="567" w:left="0"/>
        <w:jc w:val="both"/>
      </w:pPr>
      <w:r>
        <w:t>В соответствии c п. 6 и п. 42 Правил пользования газом в части обеспечения безопасности при использовании и содержании внутридомового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 (далее – Правила № 410), собственник помещения обязан обеспечивать доступ представителей специализированной организации в помещение для проведения технического обслуживания внутриквартирного газового оборудования (далее - ТО ВКГО).</w:t>
      </w:r>
    </w:p>
    <w:p w14:paraId="06000000">
      <w:pPr>
        <w:pStyle w:val="Style_2"/>
        <w:spacing w:before="178"/>
        <w:ind/>
        <w:rPr>
          <w:b w:val="1"/>
        </w:rPr>
      </w:pPr>
      <w:r>
        <w:t>По</w:t>
      </w:r>
      <w:r>
        <w:rPr>
          <w:spacing w:val="4"/>
        </w:rPr>
        <w:t xml:space="preserve"> </w:t>
      </w:r>
      <w:r>
        <w:rPr>
          <w:spacing w:val="-2"/>
        </w:rPr>
        <w:t>адресу</w:t>
      </w:r>
      <w:r>
        <w:rPr>
          <w:b w:val="1"/>
          <w:spacing w:val="-2"/>
        </w:rPr>
        <w:t>:     пос. Колычево, дом 30</w:t>
      </w:r>
    </w:p>
    <w:p w14:paraId="07000000">
      <w:pPr>
        <w:spacing w:before="124"/>
        <w:ind/>
        <w:rPr>
          <w:b w:val="1"/>
          <w:sz w:val="26"/>
        </w:rPr>
      </w:pPr>
      <w:r>
        <w:rPr>
          <w:b w:val="1"/>
          <w:sz w:val="26"/>
        </w:rPr>
        <w:t>__________________________________________</w:t>
      </w:r>
      <w:r>
        <w:rPr>
          <w:b w:val="1"/>
          <w:sz w:val="26"/>
        </w:rPr>
        <w:t>________________</w:t>
      </w:r>
      <w:bookmarkStart w:id="1" w:name="_GoBack"/>
      <w:bookmarkEnd w:id="1"/>
      <w:r>
        <w:rPr>
          <w:b w:val="1"/>
          <w:sz w:val="26"/>
        </w:rPr>
        <w:t>__</w:t>
      </w:r>
      <w:r>
        <w:rPr>
          <w:b w:val="1"/>
          <w:sz w:val="26"/>
        </w:rPr>
        <w:t>____________</w:t>
      </w:r>
      <w:r>
        <w:rPr>
          <w:b w:val="1"/>
          <w:sz w:val="26"/>
        </w:rPr>
        <w:t>__</w:t>
      </w:r>
    </w:p>
    <w:p w14:paraId="08000000">
      <w:pPr>
        <w:ind w:right="1"/>
        <w:jc w:val="center"/>
        <w:rPr>
          <w:sz w:val="26"/>
        </w:rPr>
      </w:pPr>
      <w:r>
        <w:rPr>
          <w:sz w:val="26"/>
        </w:rPr>
        <w:t>адрес</w:t>
      </w:r>
      <w:r>
        <w:rPr>
          <w:spacing w:val="-8"/>
          <w:sz w:val="26"/>
        </w:rPr>
        <w:t xml:space="preserve"> </w:t>
      </w:r>
      <w:r>
        <w:rPr>
          <w:sz w:val="26"/>
        </w:rPr>
        <w:t>многоквартирного</w:t>
      </w:r>
      <w:r>
        <w:rPr>
          <w:spacing w:val="-8"/>
          <w:sz w:val="26"/>
        </w:rPr>
        <w:t xml:space="preserve"> </w:t>
      </w:r>
      <w:r>
        <w:rPr>
          <w:sz w:val="26"/>
        </w:rPr>
        <w:t>дома</w:t>
      </w:r>
      <w:r>
        <w:rPr>
          <w:spacing w:val="-7"/>
          <w:sz w:val="26"/>
        </w:rPr>
        <w:t xml:space="preserve"> </w:t>
      </w:r>
      <w:r>
        <w:rPr>
          <w:sz w:val="26"/>
        </w:rPr>
        <w:t>(город,</w:t>
      </w:r>
      <w:r>
        <w:rPr>
          <w:spacing w:val="-8"/>
          <w:sz w:val="26"/>
        </w:rPr>
        <w:t xml:space="preserve"> </w:t>
      </w:r>
      <w:r>
        <w:rPr>
          <w:sz w:val="26"/>
        </w:rPr>
        <w:t>улица,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дома)</w:t>
      </w:r>
    </w:p>
    <w:p w14:paraId="09000000">
      <w:pPr>
        <w:pStyle w:val="Style_2"/>
        <w:spacing w:before="57"/>
        <w:ind/>
      </w:pPr>
    </w:p>
    <w:tbl>
      <w:tblPr>
        <w:tblStyle w:val="Style_4"/>
        <w:tblInd w:type="dxa" w:w="14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9334"/>
      </w:tblGrid>
      <w:tr>
        <w:trPr>
          <w:trHeight w:hRule="atLeast" w:val="453"/>
        </w:trPr>
        <w:tc>
          <w:tcPr>
            <w:tcW w:type="dxa" w:w="9334"/>
            <w:tcBorders>
              <w:top w:color="000000" w:sz="6" w:val="single"/>
              <w:left w:color="000000" w:sz="12" w:val="single"/>
              <w:bottom w:color="000000" w:sz="12" w:val="single"/>
              <w:right w:color="000000" w:sz="12" w:val="single"/>
            </w:tcBorders>
          </w:tcPr>
          <w:p w14:paraId="0A000000">
            <w:pPr>
              <w:pStyle w:val="Style_5"/>
              <w:spacing w:before="122"/>
              <w:ind w:firstLine="0" w:left="100"/>
              <w:rPr>
                <w:b w:val="1"/>
                <w:sz w:val="26"/>
              </w:rPr>
            </w:pPr>
            <w:r>
              <w:rPr>
                <w:sz w:val="26"/>
              </w:rPr>
              <w:t>Номера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квартир</w:t>
            </w:r>
            <w:r>
              <w:rPr>
                <w:sz w:val="26"/>
              </w:rPr>
              <w:t xml:space="preserve">:   </w:t>
            </w:r>
            <w:r>
              <w:rPr>
                <w:b w:val="1"/>
                <w:sz w:val="26"/>
              </w:rPr>
              <w:t xml:space="preserve"> 3</w:t>
            </w:r>
          </w:p>
        </w:tc>
      </w:tr>
      <w:tr>
        <w:trPr>
          <w:trHeight w:hRule="atLeast" w:val="331"/>
        </w:trPr>
        <w:tc>
          <w:tcPr>
            <w:tcW w:type="dxa" w:w="9334"/>
            <w:tcBorders>
              <w:top w:color="000000" w:sz="12" w:val="single"/>
              <w:left w:color="000000" w:sz="12" w:val="single"/>
              <w:bottom w:color="000000" w:sz="6" w:val="single"/>
              <w:right w:color="000000" w:sz="12" w:val="single"/>
            </w:tcBorders>
          </w:tcPr>
          <w:p w14:paraId="0B000000">
            <w:pPr>
              <w:pStyle w:val="Style_5"/>
              <w:spacing w:before="60"/>
              <w:ind w:firstLine="0" w:left="100"/>
              <w:rPr>
                <w:b w:val="1"/>
                <w:sz w:val="26"/>
              </w:rPr>
            </w:pPr>
          </w:p>
        </w:tc>
      </w:tr>
    </w:tbl>
    <w:p w14:paraId="0C000000">
      <w:pPr>
        <w:pStyle w:val="Style_2"/>
        <w:spacing w:before="132"/>
        <w:ind w:firstLine="567" w:left="0"/>
        <w:jc w:val="both"/>
      </w:pPr>
      <w:r>
        <w:t>Собственниками (нанимателями) квартир не обеспечен доступ к внутриквартирному газовому оборудованию для проведения технического обслуживания как в 2024, так и в 2025 годах.</w:t>
      </w:r>
    </w:p>
    <w:p w14:paraId="0D000000">
      <w:p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Непроведение</w:t>
      </w:r>
      <w:r>
        <w:rPr>
          <w:b w:val="1"/>
          <w:sz w:val="26"/>
        </w:rPr>
        <w:t xml:space="preserve"> ТО ВКГО </w:t>
      </w:r>
      <w:r>
        <w:rPr>
          <w:b w:val="1"/>
          <w:sz w:val="26"/>
        </w:rPr>
        <w:t>представля</w:t>
      </w:r>
      <w:r>
        <w:rPr>
          <w:b w:val="1"/>
          <w:sz w:val="26"/>
        </w:rPr>
        <w:t>е</w:t>
      </w:r>
      <w:r>
        <w:rPr>
          <w:b w:val="1"/>
          <w:sz w:val="26"/>
        </w:rPr>
        <w:t>т особую угрозу возникновения аварийных ситуаций, которые могут повлечь нанесение повреждения имущества, а также несут риск жизни и здоровью граждан, включая тех, кто ответственно относится к соблюдению требований безопасности и регулярно проходит техническое обслуживание своего оборудования.</w:t>
      </w:r>
    </w:p>
    <w:p w14:paraId="0E000000">
      <w:pPr>
        <w:pStyle w:val="Style_2"/>
        <w:spacing w:before="132"/>
        <w:ind w:firstLine="567" w:left="0"/>
        <w:jc w:val="both"/>
      </w:pPr>
      <w:r>
        <w:t xml:space="preserve">В целях </w:t>
      </w:r>
      <w:r>
        <w:t>недопущения</w:t>
      </w:r>
      <w:r>
        <w:t xml:space="preserve"> возникновения аварийной ситуации в связи с необеспечением своевременного проведения технического обслуживания внутриквартирного газового оборудования необходимо незамедлительно связаться с представителями АО «Мособлгаз» для согласования даты проведения работ. </w:t>
      </w:r>
    </w:p>
    <w:p w14:paraId="0F000000">
      <w:pPr>
        <w:spacing w:line="192" w:lineRule="auto"/>
        <w:ind w:firstLine="0" w:left="141" w:right="128"/>
        <w:jc w:val="center"/>
        <w:rPr>
          <w:b w:val="1"/>
          <w:spacing w:val="10"/>
          <w:sz w:val="26"/>
          <w:u w:val="single"/>
        </w:rPr>
      </w:pPr>
    </w:p>
    <w:p w14:paraId="10000000">
      <w:pPr>
        <w:spacing w:line="192" w:lineRule="auto"/>
        <w:ind w:firstLine="0" w:left="141" w:right="128"/>
        <w:jc w:val="center"/>
        <w:rPr>
          <w:b w:val="1"/>
          <w:sz w:val="44"/>
          <w:u w:val="single"/>
        </w:rPr>
      </w:pPr>
      <w:r>
        <w:rPr>
          <w:b w:val="1"/>
          <w:spacing w:val="10"/>
          <w:sz w:val="44"/>
          <w:u w:val="single"/>
        </w:rPr>
        <w:t xml:space="preserve">Контактный </w:t>
      </w:r>
      <w:r>
        <w:rPr>
          <w:b w:val="1"/>
          <w:spacing w:val="9"/>
          <w:sz w:val="44"/>
          <w:u w:val="single"/>
        </w:rPr>
        <w:t xml:space="preserve">номер </w:t>
      </w:r>
      <w:r>
        <w:rPr>
          <w:b w:val="1"/>
          <w:spacing w:val="10"/>
          <w:sz w:val="44"/>
          <w:u w:val="single"/>
        </w:rPr>
        <w:t>телефона</w:t>
      </w:r>
      <w:r>
        <w:rPr>
          <w:spacing w:val="10"/>
          <w:sz w:val="44"/>
          <w:u w:val="single"/>
        </w:rPr>
        <w:t xml:space="preserve">: </w:t>
      </w:r>
      <w:r>
        <w:rPr>
          <w:b w:val="1"/>
          <w:sz w:val="44"/>
          <w:u w:val="single"/>
        </w:rPr>
        <w:t>8 936 150 72 90</w:t>
      </w:r>
    </w:p>
    <w:p w14:paraId="11000000">
      <w:pPr>
        <w:spacing w:line="192" w:lineRule="auto"/>
        <w:ind w:firstLine="0" w:left="141" w:right="128"/>
        <w:jc w:val="center"/>
        <w:rPr>
          <w:sz w:val="26"/>
        </w:rPr>
      </w:pPr>
    </w:p>
    <w:p w14:paraId="12000000">
      <w:pPr>
        <w:pStyle w:val="Style_2"/>
        <w:spacing w:before="243" w:line="180" w:lineRule="auto"/>
        <w:ind w:firstLine="708" w:left="141" w:right="119"/>
        <w:jc w:val="both"/>
        <w:rPr>
          <w:u w:val="single"/>
        </w:rPr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недопуска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 xml:space="preserve">АО </w:t>
      </w:r>
      <w:r>
        <w:rPr>
          <w:spacing w:val="11"/>
        </w:rPr>
        <w:t>«Мособлгаз»</w:t>
      </w:r>
      <w:r>
        <w:rPr>
          <w:spacing w:val="11"/>
        </w:rPr>
        <w:t xml:space="preserve"> </w:t>
      </w:r>
      <w:r>
        <w:rPr>
          <w:spacing w:val="14"/>
        </w:rPr>
        <w:t xml:space="preserve">для </w:t>
      </w:r>
      <w:r>
        <w:rPr>
          <w:spacing w:val="19"/>
        </w:rPr>
        <w:t xml:space="preserve">выполнения </w:t>
      </w:r>
      <w:r>
        <w:rPr>
          <w:spacing w:val="19"/>
        </w:rPr>
        <w:t xml:space="preserve">вышеуказанных </w:t>
      </w:r>
      <w:r>
        <w:rPr>
          <w:spacing w:val="17"/>
        </w:rPr>
        <w:t xml:space="preserve">работ </w:t>
      </w:r>
      <w:r>
        <w:t>предусмотрена административная ответственность</w:t>
      </w:r>
      <w:r>
        <w:t xml:space="preserve"> </w:t>
      </w:r>
      <w:r>
        <w:t xml:space="preserve">и </w:t>
      </w:r>
      <w:r>
        <w:t>влечет</w:t>
      </w:r>
      <w:r>
        <w:rPr>
          <w:u w:val="single"/>
        </w:rPr>
        <w:t xml:space="preserve"> </w:t>
      </w:r>
      <w:r>
        <w:rPr>
          <w:u w:val="single"/>
        </w:rPr>
        <w:t>наложение штрафа на граждан в размере</w:t>
      </w:r>
      <w:r>
        <w:t xml:space="preserve"> </w:t>
      </w:r>
      <w:r>
        <w:rPr>
          <w:b w:val="1"/>
        </w:rPr>
        <w:t xml:space="preserve">от </w:t>
      </w:r>
      <w:r>
        <w:rPr>
          <w:b w:val="1"/>
        </w:rPr>
        <w:t>5 000</w:t>
      </w:r>
      <w:r>
        <w:rPr>
          <w:b w:val="1"/>
        </w:rPr>
        <w:t xml:space="preserve"> до </w:t>
      </w:r>
      <w:r>
        <w:rPr>
          <w:b w:val="1"/>
        </w:rPr>
        <w:t>10 000</w:t>
      </w:r>
      <w:r>
        <w:rPr>
          <w:b w:val="1"/>
        </w:rPr>
        <w:t xml:space="preserve"> рублей</w:t>
      </w:r>
      <w:r>
        <w:t xml:space="preserve"> </w:t>
      </w:r>
      <w:r>
        <w:t>(</w:t>
      </w:r>
      <w:r>
        <w:t>ч.3 ст.9.23 КоАП РФ).</w:t>
      </w:r>
    </w:p>
    <w:p w14:paraId="13000000">
      <w:pPr>
        <w:pStyle w:val="Style_2"/>
        <w:spacing w:before="243" w:line="180" w:lineRule="auto"/>
        <w:ind w:firstLine="0" w:left="141" w:right="119"/>
        <w:jc w:val="both"/>
      </w:pPr>
      <w:r>
        <w:rPr>
          <w:u w:val="single"/>
        </w:rPr>
        <w:t>За п</w:t>
      </w:r>
      <w:r>
        <w:rPr>
          <w:u w:val="single"/>
        </w:rPr>
        <w:t xml:space="preserve">овторное совершение указанного административного правонарушения </w:t>
      </w:r>
      <w:r>
        <w:rPr>
          <w:u w:val="single"/>
        </w:rPr>
        <w:t>-</w:t>
      </w:r>
      <w:r>
        <w:rPr>
          <w:u w:val="single"/>
        </w:rPr>
        <w:t xml:space="preserve"> штраф</w:t>
      </w:r>
      <w:r>
        <w:rPr>
          <w:u w:val="single"/>
        </w:rPr>
        <w:t xml:space="preserve"> на граждан в размере</w:t>
      </w:r>
      <w:r>
        <w:t xml:space="preserve"> </w:t>
      </w:r>
      <w:r>
        <w:rPr>
          <w:b w:val="1"/>
        </w:rPr>
        <w:t xml:space="preserve">от </w:t>
      </w:r>
      <w:r>
        <w:rPr>
          <w:b w:val="1"/>
        </w:rPr>
        <w:t>15</w:t>
      </w:r>
      <w:r>
        <w:rPr>
          <w:b w:val="1"/>
        </w:rPr>
        <w:t xml:space="preserve"> </w:t>
      </w:r>
      <w:r>
        <w:rPr>
          <w:b w:val="1"/>
        </w:rPr>
        <w:t xml:space="preserve">000 </w:t>
      </w:r>
      <w:r>
        <w:rPr>
          <w:b w:val="1"/>
        </w:rPr>
        <w:t xml:space="preserve">до </w:t>
      </w:r>
      <w:r>
        <w:rPr>
          <w:b w:val="1"/>
        </w:rPr>
        <w:t>25</w:t>
      </w:r>
      <w:r>
        <w:rPr>
          <w:b w:val="1"/>
        </w:rPr>
        <w:t xml:space="preserve"> </w:t>
      </w:r>
      <w:r>
        <w:rPr>
          <w:b w:val="1"/>
        </w:rPr>
        <w:t>000</w:t>
      </w:r>
      <w:r>
        <w:rPr>
          <w:b w:val="1"/>
        </w:rPr>
        <w:t xml:space="preserve"> рублей</w:t>
      </w:r>
      <w:r>
        <w:t xml:space="preserve"> (ч.6 ст.9.23 КоАП РФ)</w:t>
      </w:r>
      <w:r>
        <w:t>.</w:t>
      </w:r>
    </w:p>
    <w:p w14:paraId="14000000">
      <w:pPr>
        <w:pStyle w:val="Style_2"/>
        <w:spacing w:before="243" w:line="180" w:lineRule="auto"/>
        <w:ind w:firstLine="708" w:left="141" w:right="119"/>
        <w:jc w:val="both"/>
      </w:pPr>
      <w:r>
        <w:t xml:space="preserve">Кроме того, </w:t>
      </w:r>
      <w:r>
        <w:rPr>
          <w:u w:val="single"/>
        </w:rPr>
        <w:t>действия (бездействие)</w:t>
      </w:r>
      <w:r>
        <w:t>,</w:t>
      </w:r>
      <w:r>
        <w:t xml:space="preserve"> </w:t>
      </w:r>
      <w:r>
        <w:t xml:space="preserve">приведшие к аварии или возникновению непосредственной угрозы причинения вреда жизни или здоровью людей, </w:t>
      </w:r>
      <w:r>
        <w:rPr>
          <w:u w:val="single"/>
        </w:rPr>
        <w:t>влекут наложение штрафа на граждан в размере</w:t>
      </w:r>
      <w:r>
        <w:t xml:space="preserve"> </w:t>
      </w:r>
      <w:r>
        <w:rPr>
          <w:b w:val="1"/>
        </w:rPr>
        <w:t xml:space="preserve">от </w:t>
      </w:r>
      <w:r>
        <w:rPr>
          <w:b w:val="1"/>
        </w:rPr>
        <w:t>5</w:t>
      </w:r>
      <w:r>
        <w:rPr>
          <w:b w:val="1"/>
        </w:rPr>
        <w:t>0</w:t>
      </w:r>
      <w:r>
        <w:rPr>
          <w:b w:val="1"/>
        </w:rPr>
        <w:t xml:space="preserve"> </w:t>
      </w:r>
      <w:r>
        <w:rPr>
          <w:b w:val="1"/>
        </w:rPr>
        <w:t>000</w:t>
      </w:r>
      <w:r>
        <w:rPr>
          <w:b w:val="1"/>
        </w:rPr>
        <w:t xml:space="preserve"> до </w:t>
      </w:r>
      <w:r>
        <w:rPr>
          <w:b w:val="1"/>
        </w:rPr>
        <w:t>150 000</w:t>
      </w:r>
      <w:r>
        <w:rPr>
          <w:b w:val="1"/>
        </w:rPr>
        <w:t xml:space="preserve"> рублей.</w:t>
      </w:r>
      <w:r>
        <w:t xml:space="preserve"> (ч.5 ст.9.23 КоАП РФ)</w:t>
      </w:r>
      <w:r>
        <w:t>.</w:t>
      </w:r>
    </w:p>
    <w:p w14:paraId="15000000">
      <w:pPr>
        <w:spacing w:before="204"/>
        <w:ind w:firstLine="0" w:left="141"/>
        <w:jc w:val="center"/>
        <w:rPr>
          <w:b w:val="1"/>
          <w:sz w:val="52"/>
        </w:rPr>
      </w:pPr>
      <w:r>
        <w:rPr>
          <w:b w:val="1"/>
          <w:spacing w:val="16"/>
          <w:sz w:val="52"/>
        </w:rPr>
        <w:t>ПРОСИМ</w:t>
      </w:r>
      <w:r>
        <w:rPr>
          <w:b w:val="1"/>
          <w:spacing w:val="74"/>
          <w:sz w:val="52"/>
        </w:rPr>
        <w:t xml:space="preserve"> </w:t>
      </w:r>
      <w:r>
        <w:rPr>
          <w:b w:val="1"/>
          <w:spacing w:val="17"/>
          <w:sz w:val="52"/>
        </w:rPr>
        <w:t>ПРЕДОСТАВИТЬ</w:t>
      </w:r>
      <w:r>
        <w:rPr>
          <w:b w:val="1"/>
          <w:spacing w:val="75"/>
          <w:sz w:val="52"/>
        </w:rPr>
        <w:t xml:space="preserve"> </w:t>
      </w:r>
      <w:r>
        <w:rPr>
          <w:b w:val="1"/>
          <w:spacing w:val="16"/>
          <w:sz w:val="52"/>
        </w:rPr>
        <w:t>ДОСТУП</w:t>
      </w:r>
      <w:r>
        <w:rPr>
          <w:b w:val="1"/>
          <w:spacing w:val="75"/>
          <w:sz w:val="52"/>
        </w:rPr>
        <w:t xml:space="preserve"> </w:t>
      </w:r>
      <w:r>
        <w:rPr>
          <w:b w:val="1"/>
          <w:sz w:val="52"/>
        </w:rPr>
        <w:t>В</w:t>
      </w:r>
      <w:r>
        <w:rPr>
          <w:b w:val="1"/>
          <w:spacing w:val="75"/>
          <w:sz w:val="52"/>
        </w:rPr>
        <w:t xml:space="preserve"> </w:t>
      </w:r>
      <w:r>
        <w:rPr>
          <w:b w:val="1"/>
          <w:spacing w:val="18"/>
          <w:sz w:val="52"/>
        </w:rPr>
        <w:t>КВАРТИРЫ!</w:t>
      </w:r>
    </w:p>
    <w:sectPr>
      <w:type w:val="continuous"/>
      <w:pgSz w:h="16840" w:orient="portrait" w:w="11910"/>
      <w:pgMar w:bottom="64" w:footer="720" w:gutter="0" w:header="720" w:left="1559" w:right="708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6"/>
    <w:link w:val="Style_13_ch"/>
  </w:style>
  <w:style w:styleId="Style_13_ch" w:type="character">
    <w:name w:val="List Paragraph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Body Text"/>
    <w:basedOn w:val="Style_6"/>
    <w:link w:val="Style_2_ch"/>
    <w:rPr>
      <w:sz w:val="26"/>
    </w:rPr>
  </w:style>
  <w:style w:styleId="Style_2_ch" w:type="character">
    <w:name w:val="Body Text"/>
    <w:basedOn w:val="Style_6_ch"/>
    <w:link w:val="Style_2"/>
    <w:rPr>
      <w:sz w:val="26"/>
    </w:rPr>
  </w:style>
  <w:style w:styleId="Style_5" w:type="paragraph">
    <w:name w:val="Table Paragraph"/>
    <w:basedOn w:val="Style_6"/>
    <w:link w:val="Style_5_ch"/>
    <w:pPr>
      <w:ind w:firstLine="0" w:left="101"/>
    </w:pPr>
  </w:style>
  <w:style w:styleId="Style_5_ch" w:type="character">
    <w:name w:val="Table Paragraph"/>
    <w:basedOn w:val="Style_6_ch"/>
    <w:link w:val="Style_5"/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ind w:firstLine="0" w:left="141"/>
      <w:jc w:val="both"/>
      <w:outlineLvl w:val="0"/>
    </w:pPr>
    <w:rPr>
      <w:b w:val="1"/>
      <w:sz w:val="26"/>
    </w:rPr>
  </w:style>
  <w:style w:styleId="Style_3_ch" w:type="character">
    <w:name w:val="heading 1"/>
    <w:basedOn w:val="Style_6_ch"/>
    <w:link w:val="Style_3"/>
    <w:rPr>
      <w:b w:val="1"/>
      <w:sz w:val="26"/>
    </w:rPr>
  </w:style>
  <w:style w:styleId="Style_16" w:type="paragraph">
    <w:name w:val="Hyperlink"/>
    <w:basedOn w:val="Style_7"/>
    <w:link w:val="Style_16_ch"/>
    <w:rPr>
      <w:color w:themeColor="hyperlink" w:val="0000FF"/>
      <w:u w:val="single"/>
    </w:rPr>
  </w:style>
  <w:style w:styleId="Style_16_ch" w:type="character">
    <w:name w:val="Hyperlink"/>
    <w:basedOn w:val="Style_7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Title"/>
    <w:basedOn w:val="Style_6"/>
    <w:link w:val="Style_1_ch"/>
    <w:uiPriority w:val="10"/>
    <w:qFormat/>
    <w:pPr>
      <w:spacing w:line="505" w:lineRule="exact"/>
      <w:ind w:firstLine="0" w:left="1" w:right="1"/>
      <w:jc w:val="center"/>
    </w:pPr>
    <w:rPr>
      <w:b w:val="1"/>
      <w:sz w:val="44"/>
    </w:rPr>
  </w:style>
  <w:style w:styleId="Style_1_ch" w:type="character">
    <w:name w:val="Title"/>
    <w:basedOn w:val="Style_6_ch"/>
    <w:link w:val="Style_1"/>
    <w:rPr>
      <w:b w:val="1"/>
      <w:sz w:val="44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6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6"/>
    <w:link w:val="Style_26_ch"/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2025-11-29T10:23:35Z</dcterms:modified>
</cp:coreProperties>
</file>